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93869" w14:textId="77777777" w:rsidR="007A573C" w:rsidRDefault="0000000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59C6C106" wp14:editId="38E7D706">
            <wp:extent cx="723900" cy="70485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61A7D" w14:textId="77777777" w:rsidR="007A573C" w:rsidRDefault="0000000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>MINISTÉRIO DA DEFESA</w:t>
      </w:r>
      <w:r>
        <w:rPr>
          <w:rFonts w:ascii="Times New Roman" w:hAnsi="Times New Roman"/>
          <w:b/>
          <w:color w:val="000000"/>
        </w:rPr>
        <w:br/>
        <w:t>EXÉRCITO BRASILEIRO</w:t>
      </w:r>
      <w:r>
        <w:rPr>
          <w:rFonts w:ascii="Times New Roman" w:hAnsi="Times New Roman"/>
          <w:color w:val="000000"/>
        </w:rPr>
        <w:br/>
      </w:r>
      <w:r>
        <w:rPr>
          <w:rFonts w:ascii="Times New Roman" w:hAnsi="Times New Roman"/>
          <w:b/>
          <w:color w:val="000000"/>
        </w:rPr>
        <w:t>CENTRO DE PREPARAÇÃO DE OFICIAIS DA RESERVA 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color w:val="000000"/>
        </w:rPr>
        <w:t>COLÉGIO MILITAR DE SÃO PAULO</w:t>
      </w:r>
      <w:r>
        <w:rPr>
          <w:rFonts w:ascii="Times New Roman" w:hAnsi="Times New Roman"/>
          <w:b/>
          <w:color w:val="000000"/>
        </w:rPr>
        <w:br/>
        <w:t>(CPOR/2ª RM/1930)</w:t>
      </w:r>
      <w:r>
        <w:rPr>
          <w:rFonts w:ascii="Times New Roman" w:hAnsi="Times New Roman"/>
          <w:b/>
          <w:color w:val="000000"/>
        </w:rPr>
        <w:br/>
        <w:t>CENTRO SOLAR DOS ANDRADAS</w:t>
      </w:r>
    </w:p>
    <w:p w14:paraId="4AC32179" w14:textId="77777777" w:rsidR="007A573C" w:rsidRDefault="007A573C">
      <w:pPr>
        <w:pStyle w:val="LO-normal"/>
        <w:jc w:val="center"/>
      </w:pPr>
    </w:p>
    <w:p w14:paraId="3AE806A9" w14:textId="76A09133" w:rsidR="007A573C" w:rsidRDefault="00000000">
      <w:pPr>
        <w:pStyle w:val="LO-normal"/>
        <w:jc w:val="center"/>
      </w:pPr>
      <w:r>
        <w:rPr>
          <w:b/>
          <w:color w:val="000000"/>
        </w:rPr>
        <w:t xml:space="preserve">PREGÃO ELETRÔNICO Nº </w:t>
      </w:r>
      <w:r w:rsidR="009A3588">
        <w:rPr>
          <w:b/>
          <w:color w:val="000000"/>
        </w:rPr>
        <w:t>900</w:t>
      </w:r>
      <w:r>
        <w:rPr>
          <w:b/>
          <w:color w:val="000000"/>
        </w:rPr>
        <w:t>01/2024</w:t>
      </w:r>
    </w:p>
    <w:p w14:paraId="725443DA" w14:textId="77777777" w:rsidR="007A573C" w:rsidRDefault="00000000">
      <w:pPr>
        <w:pStyle w:val="LO-normal"/>
        <w:widowControl w:val="0"/>
        <w:spacing w:line="360" w:lineRule="auto"/>
        <w:ind w:right="-15"/>
        <w:jc w:val="center"/>
        <w:rPr>
          <w:b/>
          <w:color w:val="000000"/>
          <w:highlight w:val="white"/>
        </w:rPr>
      </w:pPr>
      <w:r>
        <w:rPr>
          <w:b/>
          <w:i/>
          <w:color w:val="000000"/>
          <w:highlight w:val="white"/>
        </w:rPr>
        <w:t>(Processo Administrat</w:t>
      </w:r>
      <w:r>
        <w:rPr>
          <w:b/>
          <w:i/>
          <w:color w:val="111111"/>
          <w:highlight w:val="white"/>
        </w:rPr>
        <w:t xml:space="preserve">ivo </w:t>
      </w:r>
      <w:proofErr w:type="spellStart"/>
      <w:r>
        <w:rPr>
          <w:b/>
          <w:i/>
          <w:color w:val="111111"/>
          <w:highlight w:val="white"/>
        </w:rPr>
        <w:t>n.°</w:t>
      </w:r>
      <w:proofErr w:type="spellEnd"/>
      <w:r>
        <w:rPr>
          <w:b/>
          <w:i/>
          <w:color w:val="111111"/>
          <w:highlight w:val="white"/>
        </w:rPr>
        <w:t xml:space="preserve"> 64217.000590/2024-01)</w:t>
      </w:r>
    </w:p>
    <w:p w14:paraId="25BC06D2" w14:textId="77777777" w:rsidR="007A573C" w:rsidRDefault="00000000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ATA DE REGISTRO DE PREÇOS </w:t>
      </w:r>
    </w:p>
    <w:p w14:paraId="395E6D3F" w14:textId="77777777" w:rsidR="007A573C" w:rsidRDefault="00000000">
      <w:pPr>
        <w:widowControl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N.º ___/2024</w:t>
      </w:r>
    </w:p>
    <w:p w14:paraId="7691E43F" w14:textId="77777777" w:rsidR="007A573C" w:rsidRDefault="007A573C">
      <w:pPr>
        <w:widowControl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55EE4756" w14:textId="77777777" w:rsidR="007A573C" w:rsidRDefault="00000000">
      <w:pPr>
        <w:widowControl w:val="0"/>
        <w:tabs>
          <w:tab w:val="center" w:pos="4779"/>
          <w:tab w:val="right" w:pos="9198"/>
        </w:tabs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color w:val="111111"/>
          <w:sz w:val="20"/>
          <w:szCs w:val="20"/>
        </w:rPr>
        <w:t xml:space="preserve">A UNIÃO, por intermédio do CENTRO DE PREPARAÇÃO DE OFICIAIS DA RESERVA DE SÃO PAULO - CPOR/SP, com sede na Rua Alfredo Pujol, 681, bairro Santana, São Paulo, SP, CEP 02017-011, inscrito no CNPJ/MF sob o nº </w:t>
      </w:r>
      <w:r>
        <w:rPr>
          <w:rFonts w:ascii="Arial" w:eastAsia="Calibri" w:hAnsi="Arial" w:cs="Arial"/>
          <w:i/>
          <w:iCs/>
          <w:color w:val="111111"/>
          <w:sz w:val="20"/>
          <w:szCs w:val="20"/>
        </w:rPr>
        <w:t>10.437.535/0001-88</w:t>
      </w:r>
      <w:r>
        <w:rPr>
          <w:rFonts w:ascii="Arial" w:hAnsi="Arial" w:cs="Arial"/>
          <w:i/>
          <w:iCs/>
          <w:color w:val="111111"/>
          <w:sz w:val="20"/>
          <w:szCs w:val="20"/>
        </w:rPr>
        <w:t xml:space="preserve">, neste ato representado pelo Coronel </w:t>
      </w:r>
      <w:r>
        <w:rPr>
          <w:rFonts w:ascii="Arial" w:hAnsi="Arial" w:cs="Arial"/>
          <w:b/>
          <w:i/>
          <w:iCs/>
          <w:color w:val="111111"/>
          <w:sz w:val="20"/>
          <w:szCs w:val="20"/>
        </w:rPr>
        <w:t>ALEXANDRE LÜCKEMEYER MACHADO CARRION</w:t>
      </w:r>
      <w:r>
        <w:rPr>
          <w:rFonts w:ascii="Arial" w:hAnsi="Arial" w:cs="Arial"/>
          <w:i/>
          <w:iCs/>
          <w:color w:val="111111"/>
          <w:sz w:val="20"/>
          <w:szCs w:val="20"/>
        </w:rPr>
        <w:t xml:space="preserve"> – Comandante do CPOR/CMSP, nomeado pela Portaria nº 172, de 22 de fevereiro de 2023, publicada no DOU nº 38, de 24 de fevereiro de 2023, portador da matrícula funcional nº 0111025441,</w:t>
      </w:r>
      <w:r>
        <w:rPr>
          <w:rFonts w:ascii="Arial" w:hAnsi="Arial" w:cs="Arial"/>
          <w:sz w:val="20"/>
          <w:szCs w:val="20"/>
        </w:rPr>
        <w:t xml:space="preserve"> considerando o julgamento da licitação na modalidade de pregão, na forma eletrônica, para REGISTRO DE PREÇOS nº 1/2024, publicada no ...... de ...../...../202....., processo administrativo n.º </w:t>
      </w:r>
      <w:r>
        <w:rPr>
          <w:rFonts w:ascii="Arial" w:hAnsi="Arial" w:cs="Arial"/>
          <w:b/>
          <w:i/>
          <w:color w:val="111111"/>
          <w:sz w:val="20"/>
          <w:szCs w:val="20"/>
          <w:highlight w:val="white"/>
        </w:rPr>
        <w:t>64217.000590/2024-01</w:t>
      </w:r>
      <w:r>
        <w:rPr>
          <w:rFonts w:ascii="Arial" w:hAnsi="Arial" w:cs="Arial"/>
          <w:sz w:val="20"/>
          <w:szCs w:val="20"/>
        </w:rPr>
        <w:t xml:space="preserve">, RESOLVE registrar os preços da(s) empresa(s) indicada(s) e qualificada(s) nesta ATA, de acordo com a classificação por ela(s) alcançada(s) e na(s) quantidade(s) cotada(s), atendendo as condições previstas no </w:t>
      </w:r>
      <w:r>
        <w:rPr>
          <w:rFonts w:ascii="Arial" w:hAnsi="Arial" w:cs="Arial"/>
          <w:color w:val="111111"/>
          <w:sz w:val="20"/>
          <w:szCs w:val="20"/>
        </w:rPr>
        <w:t>Edital de licitação</w:t>
      </w:r>
      <w:r>
        <w:rPr>
          <w:rFonts w:ascii="Arial" w:hAnsi="Arial" w:cs="Arial"/>
          <w:sz w:val="20"/>
          <w:szCs w:val="20"/>
        </w:rPr>
        <w:t>, sujeitando-se as partes às normas constantes na Lei nº 14.133, de 1º de abril de 2021, no Decreto n.º 11.462, de 31 de março de 2023, e em conformidade com as disposições a seguir:</w:t>
      </w:r>
    </w:p>
    <w:p w14:paraId="31339139" w14:textId="77777777" w:rsidR="007A573C" w:rsidRPr="009A3588" w:rsidRDefault="00000000">
      <w:pPr>
        <w:pStyle w:val="Nivel01"/>
        <w:numPr>
          <w:ilvl w:val="0"/>
          <w:numId w:val="2"/>
        </w:numPr>
        <w:ind w:left="0" w:firstLine="0"/>
        <w:rPr>
          <w:color w:val="auto"/>
        </w:rPr>
      </w:pPr>
      <w:r w:rsidRPr="009A3588">
        <w:rPr>
          <w:color w:val="auto"/>
        </w:rPr>
        <w:t>DO OBJETO</w:t>
      </w:r>
    </w:p>
    <w:p w14:paraId="22570F86" w14:textId="259E7A62" w:rsidR="007A573C" w:rsidRDefault="00000000">
      <w:pPr>
        <w:pStyle w:val="Nivel2"/>
        <w:numPr>
          <w:ilvl w:val="1"/>
          <w:numId w:val="2"/>
        </w:numPr>
        <w:ind w:left="0" w:firstLine="0"/>
      </w:pPr>
      <w:r>
        <w:t>A presente Ata tem por objeto o registro de preços para a eventual aquisição de material de expediente, destinados atender as necessidades do Centro de Preparação de Oficiais da Reserva e Colégio Militar de São Paulo e do GCALC/2ªRM, especificado(s) no(s) item(</w:t>
      </w:r>
      <w:proofErr w:type="spellStart"/>
      <w:r>
        <w:t>ns</w:t>
      </w:r>
      <w:proofErr w:type="spellEnd"/>
      <w:r>
        <w:t xml:space="preserve">).......... do .......... Termo de Referência, anexo </w:t>
      </w:r>
      <w:r>
        <w:rPr>
          <w:i/>
          <w:color w:val="FF0000"/>
        </w:rPr>
        <w:t xml:space="preserve">...... [do edital de Licitação nº </w:t>
      </w:r>
      <w:r w:rsidR="009A3588">
        <w:rPr>
          <w:i/>
          <w:color w:val="FF0000"/>
        </w:rPr>
        <w:t>9000</w:t>
      </w:r>
      <w:r>
        <w:rPr>
          <w:i/>
          <w:color w:val="FF0000"/>
        </w:rPr>
        <w:t>1/2024]</w:t>
      </w:r>
      <w:r>
        <w:t>, que é parte integrante desta Ata, assim como as propostas cujos preços tenham sido registrados, independentemente de transcrição.</w:t>
      </w:r>
    </w:p>
    <w:p w14:paraId="00FB5D07" w14:textId="77777777" w:rsidR="007A573C" w:rsidRPr="009A3588" w:rsidRDefault="00000000">
      <w:pPr>
        <w:pStyle w:val="Nivel01"/>
        <w:numPr>
          <w:ilvl w:val="0"/>
          <w:numId w:val="2"/>
        </w:numPr>
        <w:ind w:left="0" w:firstLine="0"/>
        <w:rPr>
          <w:color w:val="auto"/>
        </w:rPr>
      </w:pPr>
      <w:r w:rsidRPr="009A3588">
        <w:rPr>
          <w:color w:val="auto"/>
        </w:rPr>
        <w:t>DOS PREÇOS, ESPECIFICAÇÕES E QUANTITATIVOS</w:t>
      </w:r>
    </w:p>
    <w:p w14:paraId="462C84BF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 w:rsidR="007A573C" w14:paraId="49738410" w14:textId="77777777">
        <w:trPr>
          <w:trHeight w:val="511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D7DDD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16024A80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0F0C15A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68404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</w:tc>
      </w:tr>
      <w:tr w:rsidR="007A573C" w14:paraId="55F5E5F4" w14:textId="77777777">
        <w:trPr>
          <w:trHeight w:val="674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9E4841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46DBC7" w14:textId="77777777" w:rsidR="007A573C" w:rsidRDefault="00000000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76A2602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Marca</w:t>
            </w:r>
          </w:p>
          <w:p w14:paraId="0E40BD7F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(se exigida no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B26F66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Modelo</w:t>
            </w:r>
          </w:p>
          <w:p w14:paraId="2C689A16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(se exigido no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EC0566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97F7DD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CC302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Quantidade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A208E2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B81F9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Prazo garantia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ou validade</w:t>
            </w:r>
          </w:p>
        </w:tc>
      </w:tr>
      <w:tr w:rsidR="007A573C" w14:paraId="32F88CA5" w14:textId="77777777">
        <w:trPr>
          <w:trHeight w:val="174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 w14:paraId="558399D5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 w14:paraId="34B15234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 w14:paraId="11AB55DB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 w14:paraId="7509788A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 w14:paraId="07623900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 w14:paraId="5E317A02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283BB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 w14:paraId="66247113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2E56F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386E10" w14:textId="77777777" w:rsidR="007A573C" w:rsidRDefault="00000000">
      <w:pPr>
        <w:pStyle w:val="Nivel2"/>
        <w:numPr>
          <w:ilvl w:val="1"/>
          <w:numId w:val="2"/>
        </w:numPr>
        <w:ind w:left="0" w:firstLine="0"/>
        <w:rPr>
          <w:lang w:eastAsia="en-US"/>
        </w:rPr>
      </w:pPr>
      <w:r>
        <w:rPr>
          <w:lang w:eastAsia="en-US"/>
        </w:rPr>
        <w:t>A listagem do cadastro de reserva referente ao presente registro de preços consta como anexo a esta Ata.</w:t>
      </w:r>
    </w:p>
    <w:p w14:paraId="03E3004E" w14:textId="77777777" w:rsidR="007A573C" w:rsidRDefault="007A573C">
      <w:pPr>
        <w:pStyle w:val="Nivel2"/>
        <w:numPr>
          <w:ilvl w:val="0"/>
          <w:numId w:val="0"/>
        </w:numPr>
        <w:rPr>
          <w:lang w:eastAsia="en-US"/>
        </w:rPr>
      </w:pPr>
    </w:p>
    <w:p w14:paraId="368F756C" w14:textId="77777777" w:rsidR="007A573C" w:rsidRDefault="00000000">
      <w:pPr>
        <w:pStyle w:val="Nivel01"/>
        <w:numPr>
          <w:ilvl w:val="0"/>
          <w:numId w:val="2"/>
        </w:numPr>
        <w:ind w:left="0" w:firstLine="0"/>
        <w:rPr>
          <w:i/>
          <w:color w:val="FF0000"/>
        </w:rPr>
      </w:pPr>
      <w:r>
        <w:rPr>
          <w:color w:val="111111"/>
        </w:rPr>
        <w:t>ÓRGÃO GERENCIADOR</w:t>
      </w:r>
    </w:p>
    <w:p w14:paraId="389875D8" w14:textId="77777777" w:rsidR="007A573C" w:rsidRDefault="00000000">
      <w:pPr>
        <w:spacing w:line="360" w:lineRule="auto"/>
        <w:ind w:left="36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3.1. O órgão gerenciador será o Centro de Preparação de Oficiais da Reserva e Colégio Militar </w:t>
      </w:r>
      <w:r>
        <w:rPr>
          <w:rFonts w:ascii="Arial" w:hAnsi="Arial" w:cs="Arial"/>
          <w:color w:val="111111"/>
          <w:sz w:val="20"/>
          <w:szCs w:val="20"/>
          <w:lang w:eastAsia="en-US"/>
        </w:rPr>
        <w:t>de São Paulo.</w:t>
      </w:r>
    </w:p>
    <w:p w14:paraId="4BEDAF7E" w14:textId="77777777" w:rsidR="007A573C" w:rsidRPr="009A3588" w:rsidRDefault="00000000">
      <w:pPr>
        <w:pStyle w:val="Nivel01"/>
        <w:numPr>
          <w:ilvl w:val="0"/>
          <w:numId w:val="2"/>
        </w:numPr>
        <w:ind w:left="0" w:firstLine="0"/>
        <w:rPr>
          <w:i/>
          <w:color w:val="auto"/>
        </w:rPr>
      </w:pPr>
      <w:r w:rsidRPr="009A3588">
        <w:rPr>
          <w:color w:val="auto"/>
        </w:rPr>
        <w:t>DA ADESÃO À ATA DE REGISTRO DE PREÇOS</w:t>
      </w:r>
    </w:p>
    <w:p w14:paraId="78724E4F" w14:textId="77777777" w:rsidR="007A573C" w:rsidRDefault="00000000">
      <w:pPr>
        <w:pStyle w:val="Nvel2-Red"/>
        <w:numPr>
          <w:ilvl w:val="1"/>
          <w:numId w:val="2"/>
        </w:numPr>
        <w:ind w:left="0" w:firstLine="0"/>
      </w:pPr>
      <w:r>
        <w:rPr>
          <w:i w:val="0"/>
          <w:iCs w:val="0"/>
          <w:color w:val="auto"/>
        </w:rPr>
        <w:t xml:space="preserve">De forma a mitigar riscos à gestão, não será admitida a adesão à ata de registro de preços decorrente desta licitação ou desta contratação direta, conforme orientação contida no </w:t>
      </w:r>
      <w:proofErr w:type="spellStart"/>
      <w:r>
        <w:rPr>
          <w:i w:val="0"/>
          <w:iCs w:val="0"/>
          <w:color w:val="auto"/>
        </w:rPr>
        <w:t>DIEx</w:t>
      </w:r>
      <w:proofErr w:type="spellEnd"/>
      <w:r>
        <w:rPr>
          <w:i w:val="0"/>
          <w:iCs w:val="0"/>
          <w:color w:val="auto"/>
        </w:rPr>
        <w:t xml:space="preserve"> nº 72-SsAcompGe/</w:t>
      </w:r>
      <w:proofErr w:type="spellStart"/>
      <w:r>
        <w:rPr>
          <w:i w:val="0"/>
          <w:iCs w:val="0"/>
          <w:color w:val="auto"/>
        </w:rPr>
        <w:t>SAGeC</w:t>
      </w:r>
      <w:proofErr w:type="spellEnd"/>
      <w:r>
        <w:rPr>
          <w:i w:val="0"/>
          <w:iCs w:val="0"/>
          <w:color w:val="auto"/>
        </w:rPr>
        <w:t xml:space="preserve">/2º </w:t>
      </w:r>
      <w:proofErr w:type="spellStart"/>
      <w:r>
        <w:rPr>
          <w:i w:val="0"/>
          <w:iCs w:val="0"/>
          <w:color w:val="auto"/>
        </w:rPr>
        <w:t>CGCFEx</w:t>
      </w:r>
      <w:proofErr w:type="spellEnd"/>
      <w:r>
        <w:rPr>
          <w:i w:val="0"/>
          <w:iCs w:val="0"/>
          <w:color w:val="auto"/>
        </w:rPr>
        <w:t>.</w:t>
      </w:r>
    </w:p>
    <w:p w14:paraId="54332F39" w14:textId="77777777" w:rsidR="007A573C" w:rsidRDefault="00000000">
      <w:pPr>
        <w:pStyle w:val="SubTitNN"/>
      </w:pPr>
      <w:r>
        <w:t>Vedação a acréscimo de quantitativos</w:t>
      </w:r>
    </w:p>
    <w:p w14:paraId="4AA787BB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É vedado efetuar acréscimos nos quantitativos fixados na ata de registro de preços.</w:t>
      </w:r>
    </w:p>
    <w:p w14:paraId="180EEB99" w14:textId="77777777" w:rsidR="007A573C" w:rsidRPr="009A3588" w:rsidRDefault="00000000">
      <w:pPr>
        <w:pStyle w:val="Nivel01"/>
        <w:numPr>
          <w:ilvl w:val="0"/>
          <w:numId w:val="2"/>
        </w:numPr>
        <w:ind w:left="0" w:firstLine="0"/>
        <w:rPr>
          <w:color w:val="auto"/>
        </w:rPr>
      </w:pPr>
      <w:r w:rsidRPr="009A3588">
        <w:rPr>
          <w:color w:val="auto"/>
        </w:rPr>
        <w:t>VALIDADE, FORMALIZAÇÃO DA ATA DE REGISTRO DE PREÇOS E CADASTRO RESERVA</w:t>
      </w:r>
    </w:p>
    <w:p w14:paraId="0F711E2F" w14:textId="77777777" w:rsidR="007A573C" w:rsidRDefault="00000000">
      <w:pPr>
        <w:pStyle w:val="Nivel2"/>
        <w:numPr>
          <w:ilvl w:val="1"/>
          <w:numId w:val="2"/>
        </w:numPr>
        <w:ind w:left="0" w:firstLine="0"/>
        <w:rPr>
          <w:iCs/>
        </w:rPr>
      </w:pPr>
      <w:r>
        <w:t xml:space="preserve">A validade da Ata de Registro de Preços será de 1 (um) ano, contado a partir do primeiro dia útil subsequente à data de divulgação no PNCP, </w:t>
      </w:r>
      <w:r>
        <w:rPr>
          <w:color w:val="111111"/>
        </w:rPr>
        <w:t>podendo ser prorrogada por igual período, mediante a anuência do fornecedor, desde que comprovado o preço vantajoso.</w:t>
      </w:r>
    </w:p>
    <w:p w14:paraId="019F9D23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 w14:paraId="635BF3B2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Na formalização do contrato ou do instrumento substituto deverá haver a indicação da disponibilidade dos créditos orçamentários respectivos.</w:t>
      </w:r>
    </w:p>
    <w:p w14:paraId="59A0E568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A contratação com os fornecedores registrados na ata será formalizada pelo órgão ou pela en</w:t>
      </w:r>
      <w:r>
        <w:rPr>
          <w:rFonts w:eastAsia="Arial"/>
        </w:rPr>
        <w:t>ti</w:t>
      </w:r>
      <w:r>
        <w:t>dade interessada por intermédio de instrumento contratual, emissão de nota de empenho de despesa, autorização de compra ou outro instrumento hábil, conforme o art. 95 da Lei nº 14.133, de 2021.</w:t>
      </w:r>
    </w:p>
    <w:p w14:paraId="0C8DA1BF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 xml:space="preserve"> O instrumento contratual de que trata o item 5.2. deverá ser assinado no prazo de validade da ata de registro de preços.</w:t>
      </w:r>
    </w:p>
    <w:p w14:paraId="3082E37F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Os contratos decorrentes do sistema de registro de preços poderão ser alterados, observado o art. 124 da Lei nº 14.133, de 2021.</w:t>
      </w:r>
    </w:p>
    <w:p w14:paraId="285E4113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Após a homologação da licitação ou da contratação direta, deverão ser observadas as seguintes condições para formalização da ata de registro de preços:</w:t>
      </w:r>
    </w:p>
    <w:p w14:paraId="42F349BF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Serão registrados na ata os preços e os quantita</w:t>
      </w:r>
      <w:r>
        <w:rPr>
          <w:rFonts w:eastAsia="Arial"/>
        </w:rPr>
        <w:t>ti</w:t>
      </w:r>
      <w:r>
        <w:t xml:space="preserve">vos do adjudicatário, devendo ser observada a possibilidade de o licitante oferecer ou não proposta em quantitativo inferior ao máximo previsto </w:t>
      </w:r>
      <w:r>
        <w:rPr>
          <w:i/>
          <w:iCs/>
          <w:color w:val="111111"/>
        </w:rPr>
        <w:t>no edital</w:t>
      </w:r>
      <w:r>
        <w:rPr>
          <w:color w:val="111111"/>
        </w:rPr>
        <w:t xml:space="preserve"> e se o</w:t>
      </w:r>
      <w:r>
        <w:t>brigar nos limites dela;</w:t>
      </w:r>
    </w:p>
    <w:p w14:paraId="0A61080C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Será incluído na ata, na forma de anexo, o registro dos licitantes ou dos fornecedores que:</w:t>
      </w:r>
    </w:p>
    <w:p w14:paraId="477E57CD" w14:textId="77777777" w:rsidR="007A573C" w:rsidRDefault="00000000">
      <w:pPr>
        <w:pStyle w:val="Nvel4"/>
        <w:numPr>
          <w:ilvl w:val="3"/>
          <w:numId w:val="2"/>
        </w:numPr>
        <w:ind w:left="567" w:firstLine="0"/>
      </w:pPr>
      <w:r>
        <w:lastRenderedPageBreak/>
        <w:t xml:space="preserve">Aceitarem cotar os bens, as obras ou os serviços com preços iguais aos do adjudicatário, observada a classificação da licitação; e </w:t>
      </w:r>
    </w:p>
    <w:p w14:paraId="54FB2A17" w14:textId="77777777" w:rsidR="007A573C" w:rsidRDefault="00000000">
      <w:pPr>
        <w:pStyle w:val="Nvel4"/>
        <w:numPr>
          <w:ilvl w:val="3"/>
          <w:numId w:val="2"/>
        </w:numPr>
        <w:ind w:left="567" w:firstLine="0"/>
      </w:pPr>
      <w:r>
        <w:t xml:space="preserve">Mantiverem sua proposta original. </w:t>
      </w:r>
      <w:bookmarkStart w:id="0" w:name="cadastro_reserva"/>
      <w:bookmarkEnd w:id="0"/>
    </w:p>
    <w:p w14:paraId="428A8D4C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Será respeitada, nas contratações, a ordem de classificação dos licitantes ou dos fornecedores registrados na ata.</w:t>
      </w:r>
    </w:p>
    <w:p w14:paraId="585B6763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O registro a que se refere o item 5.4.2</w:t>
      </w:r>
      <w:r>
        <w:rPr>
          <w:b/>
          <w:bCs/>
        </w:rPr>
        <w:t xml:space="preserve"> </w:t>
      </w:r>
      <w:r>
        <w:t>tem por obje</w:t>
      </w:r>
      <w:r>
        <w:rPr>
          <w:rFonts w:eastAsia="Arial"/>
        </w:rPr>
        <w:t>ti</w:t>
      </w:r>
      <w:r>
        <w:t>vo a formação de cadastro de reserva para o caso de impossibilidade de atendimento pelo signatário da ata.</w:t>
      </w:r>
    </w:p>
    <w:p w14:paraId="459A2572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Para fins da ordem de classificação, os licitantes ou fornecedores que aceitarem reduzir suas propostas para o preço do adjudicatário antecederão aqueles que mantiverem sua proposta original.</w:t>
      </w:r>
    </w:p>
    <w:p w14:paraId="459B5025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 xml:space="preserve">A habilitação dos licitantes que comporão o cadastro de reserva a que se refere o item </w:t>
      </w:r>
      <w:r>
        <w:fldChar w:fldCharType="begin"/>
      </w:r>
      <w:r>
        <w:instrText xml:space="preserve"> REF cadastro_reserva \r \h </w:instrText>
      </w:r>
      <w:r>
        <w:fldChar w:fldCharType="separate"/>
      </w:r>
      <w:r>
        <w:t>5.4.2.2</w:t>
      </w:r>
      <w:r>
        <w:fldChar w:fldCharType="end"/>
      </w:r>
      <w:r>
        <w:t xml:space="preserve"> somente será efetuada quando houver necessidade de contratação dos licitantes remanescentes, nas seguintes hipóteses:</w:t>
      </w:r>
    </w:p>
    <w:p w14:paraId="725E6B16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Quando o licitante vencedor não assinar a ata de registro de preços, no prazo e nas condições estabelecido</w:t>
      </w:r>
      <w:r>
        <w:rPr>
          <w:color w:val="111111"/>
        </w:rPr>
        <w:t xml:space="preserve">s </w:t>
      </w:r>
      <w:r>
        <w:rPr>
          <w:i/>
          <w:iCs/>
          <w:color w:val="111111"/>
        </w:rPr>
        <w:t>no edital;</w:t>
      </w:r>
      <w:r>
        <w:rPr>
          <w:color w:val="111111"/>
        </w:rPr>
        <w:t xml:space="preserve"> e</w:t>
      </w:r>
    </w:p>
    <w:p w14:paraId="2B3F2E6B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 xml:space="preserve">Quando houver o cancelamento do registro do licitante ou do registro de preços nas hipóteses previstas no item </w:t>
      </w:r>
      <w:r>
        <w:fldChar w:fldCharType="begin"/>
      </w:r>
      <w:r>
        <w:instrText xml:space="preserve"> REF cancelamento \r \h </w:instrText>
      </w:r>
      <w:r>
        <w:fldChar w:fldCharType="separate"/>
      </w:r>
      <w:r>
        <w:t>9</w:t>
      </w:r>
      <w:r>
        <w:fldChar w:fldCharType="end"/>
      </w:r>
      <w:r>
        <w:t>.</w:t>
      </w:r>
    </w:p>
    <w:p w14:paraId="31E4896D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O preço registrado com indicação dos licitantes e fornecedores será divulgado no PNCP e ficará disponibilizado durante a vigência da ata de registro de preços.</w:t>
      </w:r>
    </w:p>
    <w:p w14:paraId="2778EA2C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64BC7013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 w14:paraId="2C247DCB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A ata de registro de preços será assinada por meio de assinatura digital e disponibilizada no Sistema de Registro de Preços.</w:t>
      </w:r>
    </w:p>
    <w:p w14:paraId="0EFA9603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Quando o convocado não assinar a ata de registro de preços no prazo e nas condições estabelecidos no edital ou no aviso de contratação, e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 w14:paraId="3E59AC95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Na hipótese de nenhum dos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t>mado e sua eventual atualização nos termo</w:t>
      </w:r>
      <w:r>
        <w:rPr>
          <w:color w:val="111111"/>
        </w:rPr>
        <w:t xml:space="preserve">s </w:t>
      </w:r>
      <w:r>
        <w:rPr>
          <w:i/>
          <w:iCs/>
          <w:color w:val="111111"/>
        </w:rPr>
        <w:t>do edital</w:t>
      </w:r>
      <w:r>
        <w:rPr>
          <w:color w:val="111111"/>
        </w:rPr>
        <w:t>, poderá:</w:t>
      </w:r>
    </w:p>
    <w:p w14:paraId="113EB283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rPr>
          <w:color w:val="111111"/>
        </w:rPr>
        <w:t>Convocar para neg</w:t>
      </w:r>
      <w:r>
        <w:t>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2D531206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Adjudicar e firmar o contrato nas condições ofertadas pelos licitantes ou fornecedores remanescentes, atendida a ordem classificatória, quando frustrada a negociação de melhor condição.</w:t>
      </w:r>
    </w:p>
    <w:p w14:paraId="66E74020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5094048F" w14:textId="77777777" w:rsidR="007A573C" w:rsidRPr="009A3588" w:rsidRDefault="00000000">
      <w:pPr>
        <w:pStyle w:val="Nivel01"/>
        <w:numPr>
          <w:ilvl w:val="0"/>
          <w:numId w:val="2"/>
        </w:numPr>
        <w:ind w:left="0" w:firstLine="0"/>
        <w:rPr>
          <w:color w:val="auto"/>
        </w:rPr>
      </w:pPr>
      <w:r w:rsidRPr="009A3588">
        <w:rPr>
          <w:color w:val="auto"/>
        </w:rPr>
        <w:lastRenderedPageBreak/>
        <w:t>ALTERAÇÃO OU ATUALIZAÇÃO DOS PREÇOS REGISTRADOS</w:t>
      </w:r>
    </w:p>
    <w:p w14:paraId="597FC23B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t>cados no mercado ou de fato que eleve o custo dos bens, das obras ou dos serviços registrados, nas seguintes situações:</w:t>
      </w:r>
    </w:p>
    <w:p w14:paraId="154B3AF0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Em caso de força maior, caso fortuito ou fato do príncipe ou em decorrência de fatos imprevisíveis ou previsíveis de consequências incalculáveis, que inviabilizem a execução da ata tal como pactuada, nos termos d</w:t>
      </w:r>
      <w:r>
        <w:rPr>
          <w:color w:val="111111"/>
        </w:rPr>
        <w:t>a alínea “d” do inciso II do caput do art. 124 da Lei nº 14.133, de 2021;</w:t>
      </w:r>
    </w:p>
    <w:p w14:paraId="0220B314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Em caso de criação, alteração ou ex</w:t>
      </w:r>
      <w:r>
        <w:rPr>
          <w:rFonts w:eastAsia="Calibri"/>
        </w:rPr>
        <w:t>ti</w:t>
      </w:r>
      <w:r>
        <w:t xml:space="preserve">nção de quaisquer tributos ou encargos legais ou a superveniência de disposições legais, com comprovada repercussão sobre os preços registrados; </w:t>
      </w:r>
    </w:p>
    <w:p w14:paraId="3B82A7FC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Na hipótese de previsão no edital ou no aviso de contratação direta de cláusula de reajustamento ou repactuação sobre os preços registrados, nos termos da Lei nº 14.133, de 2021.</w:t>
      </w:r>
    </w:p>
    <w:p w14:paraId="1E733E5A" w14:textId="77777777" w:rsidR="007A573C" w:rsidRDefault="00000000">
      <w:pPr>
        <w:pStyle w:val="Nvel4"/>
        <w:numPr>
          <w:ilvl w:val="3"/>
          <w:numId w:val="2"/>
        </w:numPr>
        <w:ind w:left="567" w:firstLine="0"/>
      </w:pPr>
      <w:r>
        <w:t xml:space="preserve">No caso do reajustamento, deverá ser respeitada a contagem da anualidade e o índice previstos para a contratação;  </w:t>
      </w:r>
    </w:p>
    <w:p w14:paraId="462BB7F8" w14:textId="77777777" w:rsidR="007A573C" w:rsidRDefault="00000000">
      <w:pPr>
        <w:pStyle w:val="Nvel4"/>
        <w:numPr>
          <w:ilvl w:val="3"/>
          <w:numId w:val="2"/>
        </w:numPr>
        <w:ind w:left="567" w:firstLine="0"/>
      </w:pPr>
      <w:r>
        <w:t>No caso da repactuação, poderá ser a pedido do interessado, conforme critérios definidos para a contratação.</w:t>
      </w:r>
    </w:p>
    <w:p w14:paraId="163D848E" w14:textId="77777777" w:rsidR="007A573C" w:rsidRPr="009A3588" w:rsidRDefault="00000000">
      <w:pPr>
        <w:pStyle w:val="Nivel01"/>
        <w:numPr>
          <w:ilvl w:val="0"/>
          <w:numId w:val="2"/>
        </w:numPr>
        <w:ind w:left="0" w:firstLine="0"/>
        <w:rPr>
          <w:color w:val="auto"/>
        </w:rPr>
      </w:pPr>
      <w:r w:rsidRPr="009A3588">
        <w:rPr>
          <w:color w:val="auto"/>
        </w:rPr>
        <w:t>NEGOCIAÇÃO DE PREÇOS REGISTRADOS</w:t>
      </w:r>
    </w:p>
    <w:p w14:paraId="5112FECC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Na hipótese de o preço registrado tornar-se superior ao preço pra</w:t>
      </w:r>
      <w:r>
        <w:rPr>
          <w:rFonts w:eastAsia="Calibri"/>
        </w:rPr>
        <w:t>ti</w:t>
      </w:r>
      <w:r>
        <w:t>cado no mercado por mo</w:t>
      </w:r>
      <w:r>
        <w:rPr>
          <w:rFonts w:eastAsia="Calibri"/>
        </w:rPr>
        <w:t>ti</w:t>
      </w:r>
      <w:r>
        <w:t>vo superveniente, o órgão ou en</w:t>
      </w:r>
      <w:r>
        <w:rPr>
          <w:rFonts w:eastAsia="Calibri"/>
        </w:rPr>
        <w:t>ti</w:t>
      </w:r>
      <w:r>
        <w:t>dade gerenciadora convocará o fornecedor para negociar a redução do preço registrado.</w:t>
      </w:r>
    </w:p>
    <w:p w14:paraId="60C5AF53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Caso não aceite reduzir seu preço aos valores pra</w:t>
      </w:r>
      <w:r>
        <w:rPr>
          <w:rFonts w:eastAsia="Calibri"/>
        </w:rPr>
        <w:t>ti</w:t>
      </w:r>
      <w:r>
        <w:t>cados pelo mercado, o fornecedor será liberado do compromisso assumido quanto ao item registrado, sem aplicação de penalidades administrativas.</w:t>
      </w:r>
    </w:p>
    <w:p w14:paraId="1AE3ED7A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 w14:paraId="351A317F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Se não obtiver êxito nas negociações, o órgão ou en</w:t>
      </w:r>
      <w:r>
        <w:rPr>
          <w:rFonts w:eastAsia="Calibri"/>
        </w:rPr>
        <w:t>tid</w:t>
      </w:r>
      <w:r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 w14:paraId="48E99640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rPr>
          <w:rFonts w:ascii="Calibri" w:hAnsi="Calibri" w:cs="Calibri"/>
        </w:rPr>
        <w:t>Na hipótese de</w:t>
      </w:r>
      <w:r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t xml:space="preserve">dades que </w:t>
      </w:r>
      <w:r>
        <w:rPr>
          <w:rFonts w:eastAsia="Calibri"/>
        </w:rPr>
        <w:t>ti</w:t>
      </w:r>
      <w: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4435E92B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 w14:paraId="633F013E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 xml:space="preserve">Neste caso, o fornecedor encaminhará, juntamente com o pedido de alteração, a documentação comprobatória ou </w:t>
      </w:r>
      <w:proofErr w:type="spellStart"/>
      <w:r>
        <w:t>a</w:t>
      </w:r>
      <w:proofErr w:type="spellEnd"/>
      <w:r>
        <w:t xml:space="preserve"> planilha de custos que demonstre a inviabilidade do preço registrado em relação às condições inicialmente pactuadas.</w:t>
      </w:r>
      <w:bookmarkStart w:id="3" w:name="prova_preco_mercado_maior"/>
      <w:bookmarkEnd w:id="3"/>
    </w:p>
    <w:p w14:paraId="031F9393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Não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t xml:space="preserve">dade gerenciadora e o fornecedor </w:t>
      </w:r>
      <w:r>
        <w:lastRenderedPageBreak/>
        <w:t xml:space="preserve">deverá cumprir as obrigações estabelecidas na ata, sob pena de cancelamento do seu registro, nos termos do item </w:t>
      </w:r>
      <w:r>
        <w:fldChar w:fldCharType="begin"/>
      </w:r>
      <w:r>
        <w:instrText xml:space="preserve"> REF cancelamento_do_fornecedor \r \h </w:instrText>
      </w:r>
      <w:r>
        <w:fldChar w:fldCharType="separate"/>
      </w:r>
      <w:r>
        <w:t>9.1</w:t>
      </w:r>
      <w:r>
        <w:fldChar w:fldCharType="end"/>
      </w:r>
      <w:r>
        <w:t>, sem prejuízo das sanções previstas na Lei nº 14.133, de 2021, e na legislação aplicável.</w:t>
      </w:r>
    </w:p>
    <w:p w14:paraId="6D6D1F07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 w14:paraId="0E4C4B55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 xml:space="preserve">Se não obtiver êxito nas negociações, o órgão ou entidade gerenciadora procederá ao cancelamento da ata de registro de preços, nos termos do item </w:t>
      </w:r>
      <w:r>
        <w:fldChar w:fldCharType="begin"/>
      </w:r>
      <w:r>
        <w:instrText xml:space="preserve"> REF cancelamento_da_ata \r \h </w:instrText>
      </w:r>
      <w:r>
        <w:fldChar w:fldCharType="separate"/>
      </w:r>
      <w:r>
        <w:t>9.4</w:t>
      </w:r>
      <w:r>
        <w:fldChar w:fldCharType="end"/>
      </w:r>
      <w:r>
        <w:t>, e adotará as medidas cabíveis para a obtenção da contratação mais vantajosa.</w:t>
      </w:r>
    </w:p>
    <w:p w14:paraId="1FF2A2C5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 xml:space="preserve">Na hipótese de comprovação da majoração do preço de mercado que inviabilize o preço registrado, conforme previsto no item </w:t>
      </w:r>
      <w:r>
        <w:fldChar w:fldCharType="begin"/>
      </w:r>
      <w:r>
        <w:instrText xml:space="preserve"> REF hipotese_preco_mercado_maior \r \h </w:instrText>
      </w:r>
      <w:r>
        <w:fldChar w:fldCharType="separate"/>
      </w:r>
      <w:r>
        <w:t>7.2</w:t>
      </w:r>
      <w:r>
        <w:fldChar w:fldCharType="end"/>
      </w:r>
      <w:r>
        <w:t xml:space="preserve"> e no item </w:t>
      </w:r>
      <w:r>
        <w:fldChar w:fldCharType="begin"/>
      </w:r>
      <w:r>
        <w:instrText xml:space="preserve"> REF prova_preco_mercado_maior \r \h </w:instrText>
      </w:r>
      <w:r>
        <w:fldChar w:fldCharType="separate"/>
      </w:r>
      <w:r>
        <w:t>7.2.1</w:t>
      </w:r>
      <w:r>
        <w:fldChar w:fldCharType="end"/>
      </w:r>
      <w:r>
        <w:t>, o órgão ou en</w:t>
      </w:r>
      <w:r>
        <w:rPr>
          <w:rFonts w:eastAsia="Calibri"/>
        </w:rPr>
        <w:t>ti</w:t>
      </w:r>
      <w:r>
        <w:t>dade gerenciadora atualizará o preço registrado, de acordo com a realidade dos valores praticados pelo mercado.</w:t>
      </w:r>
    </w:p>
    <w:p w14:paraId="3A5B1D75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 xml:space="preserve"> O órgão ou en</w:t>
      </w:r>
      <w:r>
        <w:rPr>
          <w:rFonts w:eastAsia="Calibri"/>
        </w:rPr>
        <w:t>ti</w:t>
      </w:r>
      <w:r>
        <w:t>dade gerenciadora comunicará aos órgãos e às en</w:t>
      </w:r>
      <w:r>
        <w:rPr>
          <w:rFonts w:eastAsia="Calibri"/>
        </w:rPr>
        <w:t>ti</w:t>
      </w:r>
      <w:r>
        <w:t xml:space="preserve">dades que </w:t>
      </w:r>
      <w:r>
        <w:rPr>
          <w:rFonts w:eastAsia="Calibri"/>
        </w:rPr>
        <w:t>ti</w:t>
      </w:r>
      <w:r>
        <w:t>verem firmado contratos decorrentes da ata de registro de preços sobre a efe</w:t>
      </w:r>
      <w:r>
        <w:rPr>
          <w:rFonts w:eastAsia="Calibri"/>
        </w:rPr>
        <w:t>ti</w:t>
      </w:r>
      <w:r>
        <w:t>va alteração do preço registrado, para que avaliem a necessidade de alteração contratual, observado o disposto no art. 124 da Lei nº 14.133, de 2021.</w:t>
      </w:r>
    </w:p>
    <w:p w14:paraId="5485ECB1" w14:textId="77777777" w:rsidR="007A573C" w:rsidRPr="009A3588" w:rsidRDefault="00000000">
      <w:pPr>
        <w:pStyle w:val="Nivel01"/>
        <w:numPr>
          <w:ilvl w:val="0"/>
          <w:numId w:val="2"/>
        </w:numPr>
        <w:ind w:left="0" w:firstLine="0"/>
        <w:rPr>
          <w:color w:val="auto"/>
        </w:rPr>
      </w:pPr>
      <w:r w:rsidRPr="009A3588">
        <w:rPr>
          <w:color w:val="auto"/>
        </w:rPr>
        <w:t>REMANEJAMENTO DAS QUANTIDADES REGISTRADAS NA ATA DE REGISTRO DE PREÇOS</w:t>
      </w:r>
    </w:p>
    <w:p w14:paraId="30D61E50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 xml:space="preserve"> As quan</w:t>
      </w:r>
      <w:r>
        <w:rPr>
          <w:rFonts w:eastAsia="Arial"/>
        </w:rPr>
        <w:t>ti</w:t>
      </w:r>
      <w:r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t>dade gerenciadora entre os órgãos ou as en</w:t>
      </w:r>
      <w:r>
        <w:rPr>
          <w:rFonts w:eastAsia="Arial"/>
        </w:rPr>
        <w:t>ti</w:t>
      </w:r>
      <w:r>
        <w:t>dades par</w:t>
      </w:r>
      <w:r>
        <w:rPr>
          <w:rFonts w:eastAsia="Arial"/>
        </w:rPr>
        <w:t>ti</w:t>
      </w:r>
      <w:r>
        <w:t>cipantes e não par</w:t>
      </w:r>
      <w:r>
        <w:rPr>
          <w:rFonts w:eastAsia="Arial"/>
        </w:rPr>
        <w:t>ti</w:t>
      </w:r>
      <w:r>
        <w:t>cipantes do registro de preços.</w:t>
      </w:r>
    </w:p>
    <w:p w14:paraId="2155BF00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 xml:space="preserve"> O remanejamento somente poderá ser feito:</w:t>
      </w:r>
    </w:p>
    <w:p w14:paraId="718D37F7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De órgão ou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 para órgão ou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cipante; ou</w:t>
      </w:r>
    </w:p>
    <w:p w14:paraId="51A8FE2F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De órgão ou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 para órgão ou entidade não participante.</w:t>
      </w:r>
    </w:p>
    <w:p w14:paraId="5B2C29DD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O órgão ou en</w:t>
      </w:r>
      <w:r>
        <w:rPr>
          <w:rFonts w:eastAsia="Arial"/>
        </w:rPr>
        <w:t>ti</w:t>
      </w:r>
      <w:r>
        <w:t>dade gerenciadora que tiver es</w:t>
      </w:r>
      <w:r>
        <w:rPr>
          <w:rFonts w:eastAsia="Arial"/>
        </w:rPr>
        <w:t>ti</w:t>
      </w:r>
      <w:r>
        <w:t>mado as quan</w:t>
      </w:r>
      <w:r>
        <w:rPr>
          <w:rFonts w:eastAsia="Arial"/>
        </w:rPr>
        <w:t>ti</w:t>
      </w:r>
      <w:r>
        <w:t>dades que pretende contratar será considerado participante para efeito do remanejamento.</w:t>
      </w:r>
      <w:bookmarkStart w:id="4" w:name="gerenciador_estimador_é_partic_em_remane"/>
      <w:bookmarkEnd w:id="4"/>
    </w:p>
    <w:p w14:paraId="484EE67D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Na hipótese de remanejamento de órgão ou entidade par</w:t>
      </w:r>
      <w:r>
        <w:rPr>
          <w:rFonts w:eastAsia="Arial"/>
        </w:rPr>
        <w:t>ti</w:t>
      </w:r>
      <w:r>
        <w:t>cipante para órgão ou entidade não participante, serão observados os limites previstos no art. 32 do Decreto nº 11.462, de 2023.</w:t>
      </w:r>
    </w:p>
    <w:p w14:paraId="15ED3622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Competirá ao órgão ou à en</w:t>
      </w:r>
      <w:r>
        <w:rPr>
          <w:rFonts w:eastAsia="Arial"/>
        </w:rPr>
        <w:t>ti</w:t>
      </w:r>
      <w:r>
        <w:t>dade gerenciadora autorizar o remanejamento solicitado, com a redução do quan</w:t>
      </w:r>
      <w:r>
        <w:rPr>
          <w:rFonts w:eastAsia="Arial"/>
        </w:rPr>
        <w:t>ti</w:t>
      </w:r>
      <w:r>
        <w:t>ta</w:t>
      </w:r>
      <w:r>
        <w:rPr>
          <w:rFonts w:eastAsia="Arial"/>
        </w:rPr>
        <w:t>ti</w:t>
      </w:r>
      <w:r>
        <w:t>vo inicialmente informado pelo órgão ou pela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cipante, desde que haja prévia anuência do órgão ou da en</w:t>
      </w:r>
      <w:r>
        <w:rPr>
          <w:rFonts w:eastAsia="Arial"/>
        </w:rPr>
        <w:t>ti</w:t>
      </w:r>
      <w:r>
        <w:t>dade que sofrer redução dos quantitativos informados.</w:t>
      </w:r>
    </w:p>
    <w:p w14:paraId="48427F55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Caso o remanejamento seja feito entre órgãos ou en</w:t>
      </w:r>
      <w:r>
        <w:rPr>
          <w:rFonts w:eastAsia="Arial"/>
        </w:rPr>
        <w:t>ti</w:t>
      </w:r>
      <w:r>
        <w:t>dades dos Estados, do Distrito Federal ou de Municípios dis</w:t>
      </w:r>
      <w:r>
        <w:rPr>
          <w:rFonts w:eastAsia="Arial"/>
        </w:rPr>
        <w:t>ti</w:t>
      </w:r>
      <w:r>
        <w:t>ntos, caberá ao fornecedor beneficiário da ata de registro de preços, observadas as condições nela estabelecidas, optar pela aceitação ou não do fornecimento decorrente do remanejamento dos itens.</w:t>
      </w:r>
    </w:p>
    <w:p w14:paraId="3A1BB692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Na hipótese da compra centralizada, não havendo indicação pelo órgão ou pela en</w:t>
      </w:r>
      <w:r>
        <w:rPr>
          <w:rFonts w:eastAsia="Arial"/>
        </w:rPr>
        <w:t>ti</w:t>
      </w:r>
      <w:r>
        <w:t>dade gerenciadora, dos quan</w:t>
      </w:r>
      <w:r>
        <w:rPr>
          <w:rFonts w:eastAsia="Arial"/>
        </w:rPr>
        <w:t>ti</w:t>
      </w:r>
      <w:r>
        <w:t>ta</w:t>
      </w:r>
      <w:r>
        <w:rPr>
          <w:rFonts w:eastAsia="Arial"/>
        </w:rPr>
        <w:t>ti</w:t>
      </w:r>
      <w:r>
        <w:t>vos dos par</w:t>
      </w:r>
      <w:r>
        <w:rPr>
          <w:rFonts w:eastAsia="Arial"/>
        </w:rPr>
        <w:t>ti</w:t>
      </w:r>
      <w:r>
        <w:t xml:space="preserve">cipantes da compra centralizada, nos termos do item </w:t>
      </w:r>
      <w:r>
        <w:fldChar w:fldCharType="begin"/>
      </w:r>
      <w:r>
        <w:instrText xml:space="preserve"> REF gerenciador_estimador_é_partic_em_remane \r \h </w:instrText>
      </w:r>
      <w:r>
        <w:fldChar w:fldCharType="separate"/>
      </w:r>
      <w:r>
        <w:t>8.3</w:t>
      </w:r>
      <w:r>
        <w:fldChar w:fldCharType="end"/>
      </w:r>
      <w:r>
        <w:t>, a distribuição das quantidades para a execução descentralizada será por meio do remanejamento.</w:t>
      </w:r>
    </w:p>
    <w:p w14:paraId="5437DEF2" w14:textId="77777777" w:rsidR="007A573C" w:rsidRDefault="00000000">
      <w:pPr>
        <w:pStyle w:val="Nivel01"/>
        <w:numPr>
          <w:ilvl w:val="0"/>
          <w:numId w:val="2"/>
        </w:numPr>
        <w:ind w:left="0" w:firstLine="0"/>
        <w:rPr>
          <w:iCs/>
        </w:rPr>
      </w:pPr>
      <w:r w:rsidRPr="009A3588">
        <w:rPr>
          <w:color w:val="auto"/>
        </w:rPr>
        <w:t>CANCELAMENTO DO REGISTRO DO LICITANTE VENCEDOR E DOS PREÇOS</w:t>
      </w:r>
      <w:r>
        <w:t xml:space="preserve"> </w:t>
      </w:r>
      <w:r w:rsidRPr="009A3588">
        <w:rPr>
          <w:color w:val="auto"/>
        </w:rPr>
        <w:t>REGISTRADOS</w:t>
      </w:r>
      <w:bookmarkStart w:id="5" w:name="cancelamento"/>
      <w:bookmarkEnd w:id="5"/>
    </w:p>
    <w:p w14:paraId="7E70D6EE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O registro do fornecedor será cancelado pelo gerenciador, quando o fornecedor:</w:t>
      </w:r>
      <w:bookmarkStart w:id="6" w:name="cancelamento_do_fornecedor"/>
      <w:bookmarkEnd w:id="6"/>
    </w:p>
    <w:p w14:paraId="49F273AD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Descumprir as condições da ata de registro de preços, sem motivo justificado;</w:t>
      </w:r>
    </w:p>
    <w:p w14:paraId="754CA091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lastRenderedPageBreak/>
        <w:t>Não re</w:t>
      </w:r>
      <w:r>
        <w:rPr>
          <w:rFonts w:eastAsia="Arial"/>
        </w:rPr>
        <w:t>ti</w:t>
      </w:r>
      <w:r>
        <w:t>rar a nota de empenho, ou instrumento equivalente, no prazo estabelecido pela Administração sem justificativa razoável;</w:t>
      </w:r>
    </w:p>
    <w:p w14:paraId="17B8CA06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Não aceitar manter seu preço registrado, na hipótese prevista no artigo 27, § 2º, do Decreto nº 11.462, de 2023; ou</w:t>
      </w:r>
    </w:p>
    <w:p w14:paraId="272AF8A9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 xml:space="preserve"> Sofrer sanção prevista nos incisos III ou IV do caput do art. 156 da Lei nº 14.133, de 2021.</w:t>
      </w:r>
    </w:p>
    <w:p w14:paraId="369232E1" w14:textId="77777777" w:rsidR="007A573C" w:rsidRDefault="00000000">
      <w:pPr>
        <w:pStyle w:val="Nvel4"/>
        <w:numPr>
          <w:ilvl w:val="3"/>
          <w:numId w:val="2"/>
        </w:numPr>
        <w:ind w:left="567" w:firstLine="0"/>
      </w:pPr>
      <w: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 w14:paraId="21B6A028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 xml:space="preserve"> O cancelamento de registros nas hipóteses previstas no item </w:t>
      </w:r>
      <w:r>
        <w:fldChar w:fldCharType="begin"/>
      </w:r>
      <w:r>
        <w:instrText xml:space="preserve"> REF cancelamento_do_fornecedor \r \h </w:instrText>
      </w:r>
      <w:r>
        <w:fldChar w:fldCharType="separate"/>
      </w:r>
      <w:r>
        <w:t>9.1</w:t>
      </w:r>
      <w:r>
        <w:fldChar w:fldCharType="end"/>
      </w:r>
      <w:r>
        <w:t xml:space="preserve"> será formalizado por despacho do órgão ou da entidade gerenciadora, garantidos os princípios do contraditório e da ampla defesa.</w:t>
      </w:r>
    </w:p>
    <w:p w14:paraId="762ADDC5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Na hipótese de cancelamento do registro do fornecedor, o órgão ou a entidade gerenciadora poderá convocar os licitantes que compõem o cadastro de reserva, observada a ordem de classificação.</w:t>
      </w:r>
    </w:p>
    <w:p w14:paraId="658AB418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t xml:space="preserve"> </w:t>
      </w:r>
    </w:p>
    <w:p w14:paraId="152BDB5B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Por razão de interesse público;</w:t>
      </w:r>
    </w:p>
    <w:p w14:paraId="4E8AF558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>A pedido do fornecedor, decorrente de caso fortuito ou força maior; ou</w:t>
      </w:r>
    </w:p>
    <w:p w14:paraId="43F30F27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 xml:space="preserve">Se não houver êxito nas negociações, nas hipóteses em que o preço de mercado tornar-se superior ou inferior ao preço registrado, nos termos do artigos 26, § 3º </w:t>
      </w:r>
      <w:proofErr w:type="gramStart"/>
      <w:r>
        <w:t>e  27</w:t>
      </w:r>
      <w:proofErr w:type="gramEnd"/>
      <w:r>
        <w:t xml:space="preserve">, § 4º, ambos do Decreto nº 11.462, de 2023. </w:t>
      </w:r>
    </w:p>
    <w:p w14:paraId="5E99315E" w14:textId="77777777" w:rsidR="007A573C" w:rsidRPr="009A3588" w:rsidRDefault="00000000">
      <w:pPr>
        <w:pStyle w:val="Nivel01"/>
        <w:numPr>
          <w:ilvl w:val="0"/>
          <w:numId w:val="2"/>
        </w:numPr>
        <w:ind w:left="0" w:firstLine="0"/>
        <w:rPr>
          <w:color w:val="auto"/>
        </w:rPr>
      </w:pPr>
      <w:r w:rsidRPr="009A3588">
        <w:rPr>
          <w:color w:val="auto"/>
        </w:rPr>
        <w:t>DAS PENALIDADES</w:t>
      </w:r>
    </w:p>
    <w:p w14:paraId="3607DA10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O descumprimento da Ata de Registro de Preços ensejará aplicação das penalidades estabelecidas</w:t>
      </w:r>
      <w:r>
        <w:rPr>
          <w:color w:val="111111"/>
        </w:rPr>
        <w:t xml:space="preserve"> </w:t>
      </w:r>
      <w:r>
        <w:rPr>
          <w:i/>
          <w:color w:val="111111"/>
        </w:rPr>
        <w:t>no edital</w:t>
      </w:r>
      <w:r>
        <w:rPr>
          <w:color w:val="111111"/>
        </w:rPr>
        <w:t>.</w:t>
      </w:r>
    </w:p>
    <w:p w14:paraId="66455567" w14:textId="77777777" w:rsidR="007A573C" w:rsidRDefault="00000000">
      <w:pPr>
        <w:pStyle w:val="Nvel3"/>
        <w:numPr>
          <w:ilvl w:val="2"/>
          <w:numId w:val="2"/>
        </w:numPr>
        <w:ind w:left="284" w:firstLine="0"/>
      </w:pPr>
      <w:r>
        <w:t xml:space="preserve">As sanções também se aplicam aos integrantes do cadastro de reserva no registro de preços que, convocados, não honrarem o compromisso assumido injustificadamente após terem assinado a ata. </w:t>
      </w:r>
    </w:p>
    <w:p w14:paraId="0CEA3619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 w14:paraId="102A2338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>O órgão ou entidade participante deverá comunicar ao órgão gerenciador qualquer das ocorrências previstas no item 9.1, dada a necessidade de instauração de procedimento para cancelamento do registro do fornecedor.</w:t>
      </w:r>
    </w:p>
    <w:p w14:paraId="3B95CF6B" w14:textId="77777777" w:rsidR="007A573C" w:rsidRDefault="007A573C">
      <w:pPr>
        <w:pStyle w:val="Nivel2"/>
        <w:numPr>
          <w:ilvl w:val="0"/>
          <w:numId w:val="0"/>
        </w:numPr>
      </w:pPr>
    </w:p>
    <w:p w14:paraId="7D431EEC" w14:textId="77777777" w:rsidR="007A573C" w:rsidRPr="009A3588" w:rsidRDefault="00000000">
      <w:pPr>
        <w:pStyle w:val="Nivel01"/>
        <w:numPr>
          <w:ilvl w:val="0"/>
          <w:numId w:val="2"/>
        </w:numPr>
        <w:ind w:left="0" w:firstLine="0"/>
        <w:rPr>
          <w:color w:val="auto"/>
        </w:rPr>
      </w:pPr>
      <w:r w:rsidRPr="009A3588">
        <w:rPr>
          <w:color w:val="auto"/>
        </w:rPr>
        <w:lastRenderedPageBreak/>
        <w:t>CONDIÇÕES GERAIS</w:t>
      </w:r>
    </w:p>
    <w:p w14:paraId="130648E3" w14:textId="77777777" w:rsidR="007A573C" w:rsidRDefault="00000000">
      <w:pPr>
        <w:pStyle w:val="Nivel2"/>
        <w:numPr>
          <w:ilvl w:val="1"/>
          <w:numId w:val="2"/>
        </w:numPr>
        <w:ind w:left="0" w:firstLine="0"/>
      </w:pPr>
      <w:r>
        <w:t xml:space="preserve">As condições gerais de execução do objeto, tais como os prazos para entrega e recebimento, as obrigações da Administração e do fornecedor registrado, penalidades e demais condições do ajuste, encontram-se definidos no Termo de Referência, ANEXO </w:t>
      </w:r>
      <w:r>
        <w:rPr>
          <w:i/>
          <w:color w:val="111111"/>
        </w:rPr>
        <w:t>AO EDITAL.</w:t>
      </w:r>
    </w:p>
    <w:p w14:paraId="7326D765" w14:textId="77777777" w:rsidR="007A573C" w:rsidRDefault="007A573C">
      <w:pPr>
        <w:pStyle w:val="Nvel2-Red"/>
        <w:numPr>
          <w:ilvl w:val="0"/>
          <w:numId w:val="0"/>
        </w:numPr>
      </w:pPr>
    </w:p>
    <w:p w14:paraId="342240F8" w14:textId="77777777" w:rsidR="007A573C" w:rsidRDefault="00000000">
      <w:pPr>
        <w:widowControl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>
        <w:rPr>
          <w:rFonts w:ascii="Arial" w:hAnsi="Arial" w:cs="Arial"/>
          <w:sz w:val="20"/>
          <w:szCs w:val="20"/>
        </w:rPr>
        <w:t>em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color w:val="FF0000"/>
          <w:sz w:val="20"/>
          <w:szCs w:val="20"/>
        </w:rPr>
        <w:t>....</w:t>
      </w:r>
      <w:r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14:paraId="21232690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C8B2C31" w14:textId="77777777" w:rsidR="007A573C" w:rsidRDefault="00000000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Local e data</w:t>
      </w:r>
    </w:p>
    <w:p w14:paraId="622B3162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E1277C9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58A252D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FC0E9F0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6DB9E0A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424AB73B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476424DB" w14:textId="77777777" w:rsidR="007A573C" w:rsidRDefault="00000000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Assinaturas</w:t>
      </w:r>
    </w:p>
    <w:p w14:paraId="67E6B7E7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92A0AA9" w14:textId="77777777" w:rsidR="007A573C" w:rsidRDefault="00000000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>
        <w:rPr>
          <w:rFonts w:ascii="Arial" w:hAnsi="Arial" w:cs="Arial"/>
          <w:sz w:val="20"/>
          <w:szCs w:val="20"/>
        </w:rPr>
        <w:t>is</w:t>
      </w:r>
      <w:proofErr w:type="spellEnd"/>
      <w:r>
        <w:rPr>
          <w:rFonts w:ascii="Arial" w:hAnsi="Arial" w:cs="Arial"/>
          <w:sz w:val="20"/>
          <w:szCs w:val="20"/>
        </w:rPr>
        <w:t xml:space="preserve">) do(s) </w:t>
      </w:r>
      <w:r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7CE7C4E4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2795450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A47A12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7EBEBCB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0C189C2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BCECE76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7D36FCA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57479F0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076D90F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A71EB5E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F5F4399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4B1253E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AEE7B4A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9FC8F76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91889F1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D70C7ED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AB2C616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765FE8D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EE348C7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06BE729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6900D3F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F5925BF" w14:textId="77777777" w:rsidR="007A573C" w:rsidRDefault="00000000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</w:p>
    <w:p w14:paraId="6A09CD9A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5217626" w14:textId="77777777" w:rsidR="007A573C" w:rsidRDefault="00000000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3FBE442E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14A7148" w14:textId="77777777" w:rsidR="007A573C" w:rsidRDefault="00000000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 w14:paraId="1FE87F18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 w:rsidR="007A573C" w14:paraId="1028887A" w14:textId="77777777">
        <w:trPr>
          <w:trHeight w:val="511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08E71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4455868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35D7DB1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B9A50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364BAC94" w14:textId="77777777" w:rsidR="007A573C" w:rsidRDefault="007A573C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73C" w14:paraId="0A88CD50" w14:textId="77777777">
        <w:trPr>
          <w:trHeight w:val="674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087A92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 w14:paraId="26533378" w14:textId="77777777" w:rsidR="007A573C" w:rsidRDefault="00000000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 w14:paraId="60EA42F5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Marca</w:t>
            </w:r>
          </w:p>
          <w:p w14:paraId="16178BF8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 w14:paraId="20617034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51A3CD4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 w14:paraId="6A9C64DC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 w14:paraId="0CD62F94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EC0A93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 w14:paraId="6D5E59A7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25AF8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7A573C" w14:paraId="2625EF85" w14:textId="77777777">
        <w:trPr>
          <w:trHeight w:val="174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 w14:paraId="3D393B26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 w14:paraId="579EE669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 w14:paraId="05FA4089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 w14:paraId="6C8A7AF1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 w14:paraId="179B7214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 w14:paraId="41742CED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C5AC3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 w14:paraId="2662BC70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3E71C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628CB2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7BC582A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F8F1262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EC10C40" w14:textId="77777777" w:rsidR="007A573C" w:rsidRDefault="00000000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 w14:paraId="6EFFB423" w14:textId="77777777" w:rsidR="007A573C" w:rsidRDefault="007A573C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4"/>
        <w:gridCol w:w="1540"/>
        <w:gridCol w:w="1123"/>
        <w:gridCol w:w="1119"/>
        <w:gridCol w:w="843"/>
        <w:gridCol w:w="839"/>
        <w:gridCol w:w="844"/>
      </w:tblGrid>
      <w:tr w:rsidR="007A573C" w14:paraId="2706A36E" w14:textId="77777777">
        <w:trPr>
          <w:trHeight w:val="511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E8817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CA7D16A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2D19C166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D437D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DB2FFA9" w14:textId="77777777" w:rsidR="007A573C" w:rsidRDefault="007A573C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73C" w14:paraId="777FFD19" w14:textId="77777777">
        <w:trPr>
          <w:trHeight w:val="674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B86CCE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7232FD5D" w14:textId="77777777" w:rsidR="007A573C" w:rsidRDefault="00000000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 w14:paraId="292ED385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Marca</w:t>
            </w:r>
          </w:p>
          <w:p w14:paraId="04755D2D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 w14:paraId="2584423E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DEE1585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 w14:paraId="11BC76B8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 w14:paraId="06233DCD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6837E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 w14:paraId="41EF3E15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D8625" w14:textId="77777777" w:rsidR="007A573C" w:rsidRDefault="0000000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7A573C" w14:paraId="20941F9A" w14:textId="77777777">
        <w:trPr>
          <w:trHeight w:val="174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</w:tcPr>
          <w:p w14:paraId="041DA91D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00ED68EC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 w14:paraId="2EDEDFBB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 w14:paraId="3739D30A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 w14:paraId="4061FE43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 w14:paraId="0A642769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89D2B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 w14:paraId="5FC25309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866FF" w14:textId="77777777" w:rsidR="007A573C" w:rsidRDefault="007A573C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D1E0D" w14:textId="77777777" w:rsidR="007A573C" w:rsidRDefault="007A573C"/>
    <w:sectPr w:rsidR="007A573C">
      <w:footerReference w:type="default" r:id="rId12"/>
      <w:pgSz w:w="11906" w:h="16838"/>
      <w:pgMar w:top="1418" w:right="1134" w:bottom="1418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5895B3" w14:textId="77777777" w:rsidR="00E103BC" w:rsidRDefault="00E103BC">
      <w:r>
        <w:separator/>
      </w:r>
    </w:p>
  </w:endnote>
  <w:endnote w:type="continuationSeparator" w:id="0">
    <w:p w14:paraId="4043B6A3" w14:textId="77777777" w:rsidR="00E103BC" w:rsidRDefault="00E10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18D32" w14:textId="77777777" w:rsidR="007A573C" w:rsidRDefault="00000000">
    <w:pPr>
      <w:pStyle w:val="Rodap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15327B0D" w14:textId="77777777" w:rsidR="007A573C" w:rsidRDefault="00000000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Câmara Nacional de Modelos de Licitações e Contratos da Consultoria-Geral da União</w:t>
    </w:r>
  </w:p>
  <w:p w14:paraId="4CA76AED" w14:textId="77777777" w:rsidR="007A573C" w:rsidRDefault="00000000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Atualização: maio/2023</w:t>
    </w:r>
  </w:p>
  <w:p w14:paraId="4DBDF1B2" w14:textId="77777777" w:rsidR="007A573C" w:rsidRDefault="00000000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Ata de Registro de Preços </w:t>
    </w:r>
    <w:proofErr w:type="gramStart"/>
    <w:r>
      <w:rPr>
        <w:rFonts w:ascii="Arial" w:hAnsi="Arial" w:cs="Arial"/>
        <w:sz w:val="12"/>
        <w:szCs w:val="12"/>
      </w:rPr>
      <w:t>–  Lei</w:t>
    </w:r>
    <w:proofErr w:type="gramEnd"/>
    <w:r>
      <w:rPr>
        <w:rFonts w:ascii="Arial" w:hAnsi="Arial" w:cs="Arial"/>
        <w:sz w:val="12"/>
        <w:szCs w:val="12"/>
      </w:rPr>
      <w:t xml:space="preserve"> nº 14.133, de 2021.</w:t>
    </w:r>
  </w:p>
  <w:p w14:paraId="0AEE0D36" w14:textId="77777777" w:rsidR="007A573C" w:rsidRDefault="00000000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Aprovado pela Secretaria de Gestão e Inovação.</w:t>
    </w:r>
  </w:p>
  <w:p w14:paraId="697D9865" w14:textId="77777777" w:rsidR="007A573C" w:rsidRDefault="00000000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Identidade visual pela Secretaria de Gestão e Inovação</w:t>
    </w:r>
  </w:p>
  <w:p w14:paraId="124C5B59" w14:textId="77777777" w:rsidR="007A573C" w:rsidRDefault="007A573C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F8E33" w14:textId="77777777" w:rsidR="00E103BC" w:rsidRDefault="00E103BC">
      <w:r>
        <w:separator/>
      </w:r>
    </w:p>
  </w:footnote>
  <w:footnote w:type="continuationSeparator" w:id="0">
    <w:p w14:paraId="6B4FEA95" w14:textId="77777777" w:rsidR="00E103BC" w:rsidRDefault="00E10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34B8A"/>
    <w:multiLevelType w:val="multilevel"/>
    <w:tmpl w:val="4CC6C8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EB76F3"/>
    <w:multiLevelType w:val="multilevel"/>
    <w:tmpl w:val="0E5E97C8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color w:val="111111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109613210">
    <w:abstractNumId w:val="0"/>
  </w:num>
  <w:num w:numId="2" w16cid:durableId="9585370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573C"/>
    <w:rsid w:val="00410AA0"/>
    <w:rsid w:val="007A573C"/>
    <w:rsid w:val="009A3588"/>
    <w:rsid w:val="00E1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1B305"/>
  <w15:docId w15:val="{C16FBA87-ADA2-4CB1-81D8-6E7F0FBB4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Ttulo10"/>
    <w:next w:val="Corpodetexto"/>
    <w:qFormat/>
    <w:pPr>
      <w:spacing w:before="200"/>
      <w:outlineLvl w:val="1"/>
    </w:pPr>
    <w:rPr>
      <w:b/>
      <w:bCs/>
      <w:sz w:val="32"/>
      <w:szCs w:val="32"/>
    </w:rPr>
  </w:style>
  <w:style w:type="paragraph" w:styleId="Ttulo3">
    <w:name w:val="heading 3"/>
    <w:basedOn w:val="Ttulo10"/>
    <w:next w:val="Corpodetexto"/>
    <w:qFormat/>
    <w:pPr>
      <w:spacing w:before="140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GradeColorida-nfase1Char">
    <w:name w:val="Grade Colorida - Ênfase 1 Char"/>
    <w:qFormat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character" w:customStyle="1" w:styleId="CorpodetextoChar">
    <w:name w:val="Corpo de texto Char"/>
    <w:link w:val="Corpodetexto"/>
    <w:uiPriority w:val="99"/>
    <w:qFormat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character" w:customStyle="1" w:styleId="CabealhoChar">
    <w:name w:val="Cabeçalho Char"/>
    <w:basedOn w:val="Fontepargpadro"/>
    <w:link w:val="Cabealho"/>
    <w:qFormat/>
    <w:rsid w:val="00BB5309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customStyle="1" w:styleId="citao2Char">
    <w:name w:val="citação 2 Char"/>
    <w:basedOn w:val="CitaoChar"/>
    <w:qFormat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6362AE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qFormat/>
    <w:rsid w:val="006362AE"/>
    <w:rPr>
      <w:rFonts w:ascii="Arial" w:eastAsiaTheme="majorEastAsia" w:hAnsi="Arial" w:cs="Arial"/>
      <w:b/>
      <w:bCs/>
      <w:color w:val="117A02" w:themeColor="accent1" w:themeShade="BF"/>
      <w:sz w:val="28"/>
      <w:szCs w:val="28"/>
    </w:rPr>
  </w:style>
  <w:style w:type="character" w:styleId="Refdecomentrio">
    <w:name w:val="annotation reference"/>
    <w:basedOn w:val="Fontepargpadro"/>
    <w:semiHidden/>
    <w:unhideWhenUsed/>
    <w:qFormat/>
    <w:rsid w:val="006A7A1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A7A1A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6A7A1A"/>
    <w:rPr>
      <w:rFonts w:ascii="Ecofont_Spranq_eco_Sans" w:hAnsi="Ecofont_Spranq_eco_Sans" w:cs="Tahoma"/>
      <w:b/>
      <w:bCs/>
    </w:rPr>
  </w:style>
  <w:style w:type="character" w:customStyle="1" w:styleId="TextodebaloChar">
    <w:name w:val="Texto de balão Char"/>
    <w:basedOn w:val="Fontepargpadro"/>
    <w:link w:val="Textodebalo"/>
    <w:semiHidden/>
    <w:qFormat/>
    <w:rsid w:val="006A7A1A"/>
    <w:rPr>
      <w:rFonts w:ascii="Segoe UI" w:hAnsi="Segoe UI" w:cs="Segoe UI"/>
      <w:sz w:val="18"/>
      <w:szCs w:val="18"/>
    </w:rPr>
  </w:style>
  <w:style w:type="character" w:customStyle="1" w:styleId="Nivel01Char">
    <w:name w:val="Nivel 01 Char"/>
    <w:basedOn w:val="Fontepargpadro"/>
    <w:link w:val="Nivel01"/>
    <w:qFormat/>
    <w:rsid w:val="00636001"/>
    <w:rPr>
      <w:rFonts w:ascii="Arial" w:eastAsiaTheme="majorEastAsia" w:hAnsi="Arial" w:cs="Arial"/>
      <w:b/>
      <w:bCs/>
      <w:lang w:eastAsia="en-US"/>
    </w:rPr>
  </w:style>
  <w:style w:type="character" w:customStyle="1" w:styleId="Nivel2Char">
    <w:name w:val="Nivel 2 Char"/>
    <w:basedOn w:val="Fontepargpadro"/>
    <w:link w:val="Nivel2"/>
    <w:qFormat/>
    <w:locked/>
    <w:rsid w:val="00D8054F"/>
    <w:rPr>
      <w:rFonts w:ascii="Arial" w:hAnsi="Arial" w:cs="Arial"/>
    </w:rPr>
  </w:style>
  <w:style w:type="character" w:customStyle="1" w:styleId="Nvel2-RedChar">
    <w:name w:val="Nível 2 -Red Char"/>
    <w:basedOn w:val="Nivel2Char"/>
    <w:qFormat/>
    <w:rsid w:val="00BE6EA8"/>
    <w:rPr>
      <w:rFonts w:ascii="Arial" w:hAnsi="Arial" w:cs="Arial"/>
      <w:i/>
      <w:iCs/>
      <w:color w:val="FF0000"/>
    </w:rPr>
  </w:style>
  <w:style w:type="character" w:customStyle="1" w:styleId="ouChar">
    <w:name w:val="ou Char"/>
    <w:basedOn w:val="Fontepargpadro"/>
    <w:qFormat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Nvel3-RChar">
    <w:name w:val="Nível 3-R Char"/>
    <w:basedOn w:val="Fontepargpadro"/>
    <w:qFormat/>
    <w:rsid w:val="00B73E47"/>
    <w:rPr>
      <w:rFonts w:ascii="Arial" w:eastAsiaTheme="minorEastAsia" w:hAnsi="Arial" w:cs="Arial"/>
      <w:i/>
      <w:iCs/>
      <w:color w:val="FF0000"/>
    </w:rPr>
  </w:style>
  <w:style w:type="character" w:customStyle="1" w:styleId="Nvel3Char">
    <w:name w:val="Nível 3 Char"/>
    <w:basedOn w:val="Nvel3-RChar"/>
    <w:link w:val="Nvel3"/>
    <w:qFormat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Nvel4Char">
    <w:name w:val="Nível 4 Char"/>
    <w:basedOn w:val="Nvel3Char"/>
    <w:link w:val="Nvel4"/>
    <w:qFormat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qFormat/>
    <w:rsid w:val="009D6CCC"/>
    <w:rPr>
      <w:rFonts w:ascii="Arial" w:hAnsi="Arial" w:cs="Arial"/>
      <w:b/>
      <w:bCs/>
      <w:iCs/>
    </w:rPr>
  </w:style>
  <w:style w:type="character" w:customStyle="1" w:styleId="Smbolosdenumerao">
    <w:name w:val="Símbolos de numeração"/>
    <w:qFormat/>
  </w:style>
  <w:style w:type="character" w:customStyle="1" w:styleId="Fontepargpadro1">
    <w:name w:val="Fonte parág. padrão1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Fontepargpadro2">
    <w:name w:val="Fonte parág. padrão2"/>
    <w:qFormat/>
  </w:style>
  <w:style w:type="character" w:customStyle="1" w:styleId="Caracteresdenotaderodap">
    <w:name w:val="Caracteres de nota de rodapé"/>
    <w:qFormat/>
  </w:style>
  <w:style w:type="character" w:customStyle="1" w:styleId="Caracteresdenotadefim">
    <w:name w:val="Caracteres de nota de fim"/>
    <w:qFormat/>
  </w:style>
  <w:style w:type="character" w:styleId="HiperlinkVisitado">
    <w:name w:val="FollowedHyperlink"/>
    <w:rPr>
      <w:color w:val="80000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  <w:lang/>
    </w:rPr>
  </w:style>
  <w:style w:type="paragraph" w:customStyle="1" w:styleId="GradeColorida-nfase11">
    <w:name w:val="Grade Colorida - Ênfase 11"/>
    <w:basedOn w:val="Normal"/>
    <w:next w:val="Normal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PargrafodaLista">
    <w:name w:val="List Paragraph"/>
    <w:basedOn w:val="Normal"/>
    <w:uiPriority w:val="34"/>
    <w:qFormat/>
    <w:rsid w:val="003F48DF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paragraph" w:customStyle="1" w:styleId="citao2">
    <w:name w:val="citação 2"/>
    <w:basedOn w:val="Citao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2038C8"/>
    <w:rPr>
      <w:i/>
      <w:iCs/>
      <w:color w:val="000000" w:themeColor="text1"/>
    </w:rPr>
  </w:style>
  <w:style w:type="paragraph" w:customStyle="1" w:styleId="Nivel1">
    <w:name w:val="Nivel1"/>
    <w:basedOn w:val="Ttulo1"/>
    <w:next w:val="Normal"/>
    <w:link w:val="Nivel1Char"/>
    <w:qFormat/>
    <w:rsid w:val="006362AE"/>
    <w:pPr>
      <w:widowControl w:val="0"/>
      <w:spacing w:after="120" w:line="276" w:lineRule="auto"/>
      <w:ind w:left="360" w:hanging="360"/>
      <w:jc w:val="both"/>
      <w:outlineLvl w:val="9"/>
    </w:pPr>
    <w:rPr>
      <w:rFonts w:ascii="Arial" w:hAnsi="Arial" w:cs="Arial"/>
      <w:sz w:val="20"/>
      <w:szCs w:val="20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tabs>
        <w:tab w:val="left" w:pos="567"/>
      </w:tabs>
      <w:spacing w:before="120" w:after="120" w:line="276" w:lineRule="auto"/>
      <w:jc w:val="both"/>
      <w:outlineLvl w:val="9"/>
    </w:pPr>
    <w:rPr>
      <w:rFonts w:ascii="Arial" w:hAnsi="Arial" w:cs="Arial"/>
      <w:sz w:val="20"/>
      <w:szCs w:val="20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6A7A1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6A7A1A"/>
    <w:rPr>
      <w:b/>
      <w:bCs/>
    </w:rPr>
  </w:style>
  <w:style w:type="paragraph" w:styleId="Textodebalo">
    <w:name w:val="Balloon Text"/>
    <w:basedOn w:val="Normal"/>
    <w:qFormat/>
    <w:rPr>
      <w:rFonts w:ascii="Segoe UI" w:hAnsi="Segoe UI" w:cs="Segoe UI"/>
      <w:sz w:val="18"/>
      <w:szCs w:val="18"/>
    </w:rPr>
  </w:style>
  <w:style w:type="paragraph" w:styleId="Reviso">
    <w:name w:val="Revision"/>
    <w:uiPriority w:val="99"/>
    <w:semiHidden/>
    <w:qFormat/>
    <w:rsid w:val="00586901"/>
    <w:rPr>
      <w:rFonts w:ascii="Ecofont_Spranq_eco_Sans" w:hAnsi="Ecofont_Spranq_eco_Sans" w:cs="Tahoma"/>
      <w:sz w:val="24"/>
      <w:szCs w:val="24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numId w:val="2"/>
      </w:numPr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paragraph" w:customStyle="1" w:styleId="Nvel2-Red">
    <w:name w:val="Nível 2 -Red"/>
    <w:basedOn w:val="Nivel2"/>
    <w:qFormat/>
    <w:rsid w:val="00BE6EA8"/>
    <w:rPr>
      <w:i/>
      <w:iCs/>
      <w:color w:val="FF0000"/>
    </w:rPr>
  </w:style>
  <w:style w:type="paragraph" w:customStyle="1" w:styleId="ou">
    <w:name w:val="ou"/>
    <w:basedOn w:val="PargrafodaLista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paragraph" w:customStyle="1" w:styleId="Nvel3-R">
    <w:name w:val="Nível 3-R"/>
    <w:basedOn w:val="Normal"/>
    <w:qFormat/>
    <w:rsid w:val="00B73E47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ind w:left="567"/>
    </w:p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paragraph" w:customStyle="1" w:styleId="LO-normal">
    <w:name w:val="LO-normal"/>
    <w:qFormat/>
    <w:rPr>
      <w:rFonts w:ascii="Arial" w:eastAsia="Arial" w:hAnsi="Arial" w:cs="Arial"/>
      <w:lang w:eastAsia="zh-CN" w:bidi="hi-IN"/>
    </w:rPr>
  </w:style>
  <w:style w:type="paragraph" w:styleId="NormalWeb">
    <w:name w:val="Normal (Web)"/>
    <w:basedOn w:val="Normal"/>
    <w:qFormat/>
    <w:pPr>
      <w:suppressAutoHyphens w:val="0"/>
      <w:spacing w:before="280" w:after="280"/>
    </w:pPr>
  </w:style>
  <w:style w:type="paragraph" w:styleId="Subttulo">
    <w:name w:val="Subtitle"/>
    <w:basedOn w:val="Ttulo10"/>
    <w:next w:val="Corpodetexto"/>
    <w:qFormat/>
    <w:pPr>
      <w:spacing w:before="60"/>
      <w:jc w:val="center"/>
    </w:pPr>
    <w:rPr>
      <w:sz w:val="36"/>
      <w:szCs w:val="36"/>
    </w:rPr>
  </w:style>
  <w:style w:type="paragraph" w:customStyle="1" w:styleId="Citaes">
    <w:name w:val="Citações"/>
    <w:basedOn w:val="Normal"/>
    <w:qFormat/>
    <w:pPr>
      <w:spacing w:after="283"/>
      <w:ind w:left="567" w:right="567"/>
    </w:p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Ttulo20">
    <w:name w:val="Título2"/>
    <w:basedOn w:val="Ttulo10"/>
    <w:next w:val="Corpodetexto"/>
    <w:qFormat/>
    <w:pPr>
      <w:jc w:val="center"/>
    </w:pPr>
    <w:rPr>
      <w:b/>
      <w:bCs/>
      <w:sz w:val="56"/>
      <w:szCs w:val="56"/>
    </w:rPr>
  </w:style>
  <w:style w:type="paragraph" w:customStyle="1" w:styleId="Caption1111111111111111111111">
    <w:name w:val="Caption1111111111111111111111"/>
    <w:basedOn w:val="Normal"/>
    <w:next w:val="Normal"/>
    <w:qFormat/>
    <w:pPr>
      <w:jc w:val="center"/>
    </w:pPr>
    <w:rPr>
      <w:rFonts w:ascii="Arial" w:hAnsi="Arial" w:cs="Arial"/>
      <w:b/>
    </w:rPr>
  </w:style>
  <w:style w:type="paragraph" w:customStyle="1" w:styleId="Caption111111111111111111111">
    <w:name w:val="Caption11111111111111111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1111111">
    <w:name w:val="Caption1111111111111111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111111">
    <w:name w:val="Caption111111111111111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11111">
    <w:name w:val="Caption11111111111111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1111">
    <w:name w:val="Caption1111111111111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111">
    <w:name w:val="Caption111111111111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11">
    <w:name w:val="Caption11111111111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1">
    <w:name w:val="Caption1111111111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1">
    <w:name w:val="Caption111111111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1">
    <w:name w:val="Caption11111111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1">
    <w:name w:val="Caption1111111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111111">
    <w:name w:val="Caption111111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11111">
    <w:name w:val="Caption11111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1111">
    <w:name w:val="Caption1111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111">
    <w:name w:val="Caption111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11">
    <w:name w:val="Caption11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1">
    <w:name w:val="Caption1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">
    <w:name w:val="Caption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Contedodalista">
    <w:name w:val="Conteúdo da lista"/>
    <w:basedOn w:val="Normal"/>
    <w:qFormat/>
    <w:pPr>
      <w:ind w:left="567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2928</Words>
  <Characters>15814</Characters>
  <Application>Microsoft Office Word</Application>
  <DocSecurity>0</DocSecurity>
  <Lines>131</Lines>
  <Paragraphs>37</Paragraphs>
  <ScaleCrop>false</ScaleCrop>
  <Company/>
  <LinksUpToDate>false</LinksUpToDate>
  <CharactersWithSpaces>18705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thiagonogueira_v11_2004@yahoo.com.br</cp:lastModifiedBy>
  <cp:revision>11</cp:revision>
  <cp:lastPrinted>2023-10-25T13:59:00Z</cp:lastPrinted>
  <dcterms:created xsi:type="dcterms:W3CDTF">2023-05-20T12:12:00Z</dcterms:created>
  <dcterms:modified xsi:type="dcterms:W3CDTF">2024-09-20T13:03:00Z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